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447BF" w14:textId="0784DD21" w:rsidR="00085CEB" w:rsidRPr="00085CEB" w:rsidRDefault="00085CEB" w:rsidP="00085CEB">
      <w:pPr>
        <w:rPr>
          <w:b/>
          <w:bCs/>
          <w:sz w:val="28"/>
          <w:szCs w:val="28"/>
          <w:lang w:val="ru-KZ"/>
        </w:rPr>
      </w:pPr>
      <w:r w:rsidRPr="00085CEB">
        <w:rPr>
          <w:b/>
          <w:bCs/>
          <w:sz w:val="28"/>
          <w:szCs w:val="28"/>
          <w:lang w:val="ru-KZ"/>
        </w:rPr>
        <w:t>Риски: управление гибкостью (реактивной и проактивной)</w:t>
      </w:r>
    </w:p>
    <w:p w14:paraId="1B07ACE9" w14:textId="37DC8703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В повседневной жизни мы зачастую относимся к риску, как к негативному событию. Это больше эмоциональная реакция на изменение. Однако нельзя упускать из внимания тот факт, что именно риск дает возможность изменятся самому и адаптироваться к изменениям окружающей бизнес-среды. Можно сказать, что это эволюционный процесс в бизнесе. А с учетом того, что изменения в современном мире происходят очень быстро, можно сравнить процесс адаптации к таким изменениям с серфингом. Присутствуют три составляющих: спортсмен-серфингист, доска для серфинга и волна. Риски в нашем случае – волны в океане, к которым нужно адаптироваться, чтобы устоять на ногах, да еще и получить удовольствие от процесса.</w:t>
      </w:r>
    </w:p>
    <w:p w14:paraId="10811913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В животном мире образец приспособляемости и адаптируемости – крыса, которая проявляет проактивную гибкость, чтобы выжить. </w:t>
      </w:r>
    </w:p>
    <w:p w14:paraId="43ABAABF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Что же касается бизнеса, кто является более гибким и лучше приспосабливается к изменениям – глобальная корпорация или небольшая компания?</w:t>
      </w:r>
    </w:p>
    <w:p w14:paraId="2BC227BF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Да, вы правы – гиганту бизнеса сложно развернуться в нужную сторону и перестроиться на ходу. Процесс согласования и принятия решений может растянутся на месяцы. А вот небольшой компании, например, занимающейся продажей ликвидных объектов недвижимости (скажем, однокомнатных квартир) проще перестроиться и среагировать на рыночные изменения.</w:t>
      </w:r>
    </w:p>
    <w:p w14:paraId="527B935E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Отметим, что чем меньше, постоянных издержек у компании, тем выше ее гибкость.</w:t>
      </w:r>
    </w:p>
    <w:p w14:paraId="69D153D7" w14:textId="77777777" w:rsidR="00085CEB" w:rsidRPr="00085CEB" w:rsidRDefault="00085CEB" w:rsidP="00085CEB">
      <w:pPr>
        <w:rPr>
          <w:lang w:val="ru-KZ"/>
        </w:rPr>
      </w:pPr>
      <w:r w:rsidRPr="00085CEB">
        <w:rPr>
          <w:b/>
          <w:bCs/>
          <w:lang w:val="ru-KZ"/>
        </w:rPr>
        <w:t>Гибкость компании также зависит от особенностей законодательного регулирования. </w:t>
      </w:r>
    </w:p>
    <w:p w14:paraId="1E8A3F04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Например, вопросы, касающиеся найма и увольнения сотрудников: если в стране, как например, в России, США, Китае, довольно легко принять на работу или уволить сотрудника, то для бизнеса это наиболее комфортно, это дает хорошие темпы роста экономики.</w:t>
      </w:r>
    </w:p>
    <w:p w14:paraId="38A0431C" w14:textId="77777777" w:rsidR="00085CEB" w:rsidRPr="00085CEB" w:rsidRDefault="00085CEB" w:rsidP="00085CEB">
      <w:pPr>
        <w:rPr>
          <w:lang w:val="ru-KZ"/>
        </w:rPr>
      </w:pPr>
      <w:r w:rsidRPr="00085CEB">
        <w:rPr>
          <w:b/>
          <w:bCs/>
          <w:lang w:val="ru-KZ"/>
        </w:rPr>
        <w:t>Долги на уровне компании, да и государства также влияют на гибкость позиции.</w:t>
      </w:r>
      <w:r w:rsidRPr="00085CEB">
        <w:rPr>
          <w:lang w:val="ru-KZ"/>
        </w:rPr>
        <w:t xml:space="preserve"> Чем меньше долгов у компании или страны, тем выше гибкость.</w:t>
      </w:r>
    </w:p>
    <w:p w14:paraId="773B6E06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 xml:space="preserve">Мы описываем способность адаптироваться к изменением с точки зрения проактивности и реактивности. Реактивная гибкость – компания реагирует на произошедшие изменения. Проактивная гибкость – компания продуцирует, создает изменения, например, феномен компании Virgin (R. </w:t>
      </w:r>
      <w:proofErr w:type="spellStart"/>
      <w:r w:rsidRPr="00085CEB">
        <w:rPr>
          <w:lang w:val="ru-KZ"/>
        </w:rPr>
        <w:t>Branson</w:t>
      </w:r>
      <w:proofErr w:type="spellEnd"/>
      <w:r w:rsidRPr="00085CEB">
        <w:rPr>
          <w:lang w:val="ru-KZ"/>
        </w:rPr>
        <w:t>). Про проактивного человека можно сказать, что результатом изменений является он сам. В случае бизнеса компании – аналогично.</w:t>
      </w:r>
    </w:p>
    <w:p w14:paraId="3DF8C8C0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Реактивная позиция в риск-менеджменте предполагает адаптацию к внешним воздействиям, в то время как проактивная позиция компании оказывает активное воздействие на внешние среду, создающую риски, и предполагает непрерывные изменения.</w:t>
      </w:r>
    </w:p>
    <w:p w14:paraId="0C3A4F3C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lastRenderedPageBreak/>
        <w:t>Все виды рисков взаимосвязаны и могут оказывать влияние на деятельность компании. Изменение одного вида риска может вызвать изменение большинства других. В связи с этим возникает потребность в построении системы риск-менеджмента в компании, исходя из следующих положений:</w:t>
      </w:r>
    </w:p>
    <w:p w14:paraId="33FE7056" w14:textId="77777777" w:rsidR="00085CEB" w:rsidRPr="00085CEB" w:rsidRDefault="00085CEB" w:rsidP="00085CEB">
      <w:pPr>
        <w:numPr>
          <w:ilvl w:val="0"/>
          <w:numId w:val="1"/>
        </w:numPr>
        <w:rPr>
          <w:lang w:val="ru-KZ"/>
        </w:rPr>
      </w:pPr>
      <w:r w:rsidRPr="00085CEB">
        <w:rPr>
          <w:lang w:val="ru-KZ"/>
        </w:rPr>
        <w:t>Риск-менеджмент является объектом управления не только для представителей финансовых служб, но и для всех лиц, вовлеченных в финансовый процесс. Начиная с этапа разработки инвестиционной и финансовой стратегии и заканчивая процессом бюджетирования, следует таргетировать риск.</w:t>
      </w:r>
    </w:p>
    <w:p w14:paraId="43286E48" w14:textId="77777777" w:rsidR="00085CEB" w:rsidRPr="00085CEB" w:rsidRDefault="00085CEB" w:rsidP="00085CEB">
      <w:pPr>
        <w:numPr>
          <w:ilvl w:val="0"/>
          <w:numId w:val="1"/>
        </w:numPr>
        <w:rPr>
          <w:lang w:val="ru-KZ"/>
        </w:rPr>
      </w:pPr>
      <w:r w:rsidRPr="00085CEB">
        <w:rPr>
          <w:lang w:val="ru-KZ"/>
        </w:rPr>
        <w:t>Если предприятие не может принять риск (как в абсолютном, так и в относительном выражении), следует рассматривать возможность отказа от объекта инвестирования, ассоциированного с риском. В связи с этим риск-менеджмент предусматривает постоянный мониторинг альтернативных объектов инвестиционной деятельности, например, деривативов, долгосрочных ценных бумаг, позволяющих снизить текущий риск инвестиционной деятельности.</w:t>
      </w:r>
    </w:p>
    <w:p w14:paraId="011B8E3C" w14:textId="77777777" w:rsidR="00085CEB" w:rsidRPr="00085CEB" w:rsidRDefault="00085CEB" w:rsidP="00085CEB">
      <w:pPr>
        <w:numPr>
          <w:ilvl w:val="0"/>
          <w:numId w:val="1"/>
        </w:numPr>
        <w:rPr>
          <w:lang w:val="ru-KZ"/>
        </w:rPr>
      </w:pPr>
      <w:r w:rsidRPr="00085CEB">
        <w:rPr>
          <w:lang w:val="ru-KZ"/>
        </w:rPr>
        <w:t>Проактивная позиция в риск-менеджменте является более эффективной по сравнению с подходом после факта наступления риска (реактивная позиция), при котором управление риском начинается после его наступления.</w:t>
      </w:r>
    </w:p>
    <w:p w14:paraId="192C519E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Таким образом, риск-менеджмент реализуется как составляющая инвестиционной стратегии и тактики, и является объектом управленческих решений с точки зрения недопущения возможного убытка (недополучения прибыли) и снижения вероятности его возникновения.</w:t>
      </w:r>
    </w:p>
    <w:p w14:paraId="5443C841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В связи с высокой изменчивостью рынка, волатильностью объектов инвестирования, интенсивной конкуренцией, успешным является тот субъект хозяйствования, который проявляет большую гибкость в осуществлении экономической активности, что предусматривает использование экономико-математического моделирования, прогнозирование рыночных тенденций. </w:t>
      </w:r>
    </w:p>
    <w:p w14:paraId="4766513F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Такие инструменты являются основополагающими при построении системы риск-менеджмента, базирующейся на следующих элементах:</w:t>
      </w:r>
    </w:p>
    <w:p w14:paraId="3B47C823" w14:textId="77777777" w:rsidR="00085CEB" w:rsidRPr="00085CEB" w:rsidRDefault="00085CEB" w:rsidP="00085CEB">
      <w:pPr>
        <w:numPr>
          <w:ilvl w:val="0"/>
          <w:numId w:val="2"/>
        </w:numPr>
        <w:rPr>
          <w:lang w:val="ru-KZ"/>
        </w:rPr>
      </w:pPr>
      <w:r w:rsidRPr="00085CEB">
        <w:rPr>
          <w:lang w:val="ru-KZ"/>
        </w:rPr>
        <w:t>Измерение риска. В его основу положены объективные вероятностные категории, однако, параллельно с ними следует учитывать субъективную составляющую его оценки.</w:t>
      </w:r>
    </w:p>
    <w:p w14:paraId="4BD5AFEB" w14:textId="77777777" w:rsidR="00085CEB" w:rsidRPr="00085CEB" w:rsidRDefault="00085CEB" w:rsidP="00085CEB">
      <w:pPr>
        <w:numPr>
          <w:ilvl w:val="0"/>
          <w:numId w:val="2"/>
        </w:numPr>
        <w:rPr>
          <w:lang w:val="ru-KZ"/>
        </w:rPr>
      </w:pPr>
      <w:r w:rsidRPr="00085CEB">
        <w:rPr>
          <w:lang w:val="ru-KZ"/>
        </w:rPr>
        <w:t>Риск-мониторинг – как систематическое исследование рыночной среды с точки зрения своевременного выявления возможных угроз, непредвиденных изменений конъюнктуры рынка, действий конкурентов и т.д.</w:t>
      </w:r>
    </w:p>
    <w:p w14:paraId="5FCAB5F7" w14:textId="77777777" w:rsidR="00085CEB" w:rsidRPr="00085CEB" w:rsidRDefault="00085CEB" w:rsidP="00085CEB">
      <w:pPr>
        <w:numPr>
          <w:ilvl w:val="0"/>
          <w:numId w:val="2"/>
        </w:numPr>
        <w:rPr>
          <w:lang w:val="ru-KZ"/>
        </w:rPr>
      </w:pPr>
      <w:r w:rsidRPr="00085CEB">
        <w:rPr>
          <w:lang w:val="ru-KZ"/>
        </w:rPr>
        <w:t>Управление риском предполагает дифференциацию и хеджирование инвестиционного портфеля.</w:t>
      </w:r>
    </w:p>
    <w:p w14:paraId="7EB3BEA3" w14:textId="77777777" w:rsidR="00085CEB" w:rsidRPr="00085CEB" w:rsidRDefault="00085CEB" w:rsidP="00085CEB">
      <w:pPr>
        <w:rPr>
          <w:lang w:val="ru-KZ"/>
        </w:rPr>
      </w:pPr>
      <w:r w:rsidRPr="00085CEB">
        <w:rPr>
          <w:lang w:val="ru-KZ"/>
        </w:rPr>
        <w:t>Успешное построение риск-менеджмента в компании означает систематическую и последовательную реализацию выше указанных элементов.</w:t>
      </w:r>
    </w:p>
    <w:p w14:paraId="2C6C6590" w14:textId="77777777" w:rsidR="004C2EDD" w:rsidRPr="00085CEB" w:rsidRDefault="004C2EDD">
      <w:pPr>
        <w:rPr>
          <w:lang w:val="ru-KZ"/>
        </w:rPr>
      </w:pPr>
    </w:p>
    <w:sectPr w:rsidR="004C2EDD" w:rsidRPr="00085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724F"/>
    <w:multiLevelType w:val="multilevel"/>
    <w:tmpl w:val="45F2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900FD"/>
    <w:multiLevelType w:val="multilevel"/>
    <w:tmpl w:val="2A80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1635462">
    <w:abstractNumId w:val="1"/>
  </w:num>
  <w:num w:numId="2" w16cid:durableId="866723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33"/>
    <w:rsid w:val="00056DD1"/>
    <w:rsid w:val="00085CEB"/>
    <w:rsid w:val="001C6EDE"/>
    <w:rsid w:val="004C2EDD"/>
    <w:rsid w:val="006B74D8"/>
    <w:rsid w:val="00805133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1249"/>
  <w15:chartTrackingRefBased/>
  <w15:docId w15:val="{E1404463-1800-49F5-B471-32934457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1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1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1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1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1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1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1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1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1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1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51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2026-10-06T07:49:00Z</dcterms:created>
  <dcterms:modified xsi:type="dcterms:W3CDTF">2026-10-06T07:50:00Z</dcterms:modified>
</cp:coreProperties>
</file>